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40" w:after="0" w:lineRule="auto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Fonts w:eastAsia="Garamond" w:ascii="Garamond" w:hAnsi="Garamond" w:cs="Garamond"/>
          <w:b w:val="1"/>
          <w:sz w:val="32"/>
          <w:highlight w:val="none"/>
          <w:rtl w:val="0"/>
        </w:rPr>
        <w:t xml:space="preserve">FOR IMMEDIATE RELEASE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40" w:after="0" w:lineRule="auto"/>
        <w:ind w:firstLine="0" w:left="4410"/>
      </w:pPr>
      <w:r w:rsidDel="00000000" w:rsidR="00000000" w:rsidRPr="00000000">
        <w:rPr>
          <w:rFonts w:eastAsia="Garamond" w:ascii="Garamond" w:hAnsi="Garamond" w:cs="Garamond"/>
          <w:b w:val="1"/>
          <w:sz w:val="28"/>
          <w:highlight w:val="none"/>
          <w:rtl w:val="0"/>
        </w:rPr>
        <w:t xml:space="preserve">Contact: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40" w:after="0" w:lineRule="auto"/>
        <w:ind w:firstLine="0" w:left="4410"/>
      </w:pPr>
      <w:r w:rsidDel="00000000" w:rsidR="00000000" w:rsidRPr="00000000">
        <w:rPr>
          <w:rFonts w:eastAsia="Garamond" w:ascii="Garamond" w:hAnsi="Garamond" w:cs="Garamond"/>
          <w:sz w:val="28"/>
          <w:highlight w:val="none"/>
          <w:rtl w:val="0"/>
        </w:rPr>
        <w:t xml:space="preserve">Holly Dormeyer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40" w:after="0" w:lineRule="auto"/>
        <w:ind w:firstLine="0" w:left="4410"/>
      </w:pPr>
      <w:r w:rsidDel="00000000" w:rsidR="00000000" w:rsidRPr="00000000">
        <w:rPr>
          <w:rFonts w:eastAsia="Garamond" w:ascii="Garamond" w:hAnsi="Garamond" w:cs="Garamond"/>
          <w:sz w:val="28"/>
          <w:highlight w:val="none"/>
          <w:rtl w:val="0"/>
        </w:rPr>
        <w:t xml:space="preserve">New Media Legal Publishing, Inc.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tabs>
          <w:tab w:pos="2610" w:val="left"/>
        </w:tabs>
        <w:spacing w:line="240" w:after="0" w:lineRule="auto"/>
        <w:ind w:firstLine="0" w:left="4410"/>
      </w:pPr>
      <w:r w:rsidDel="00000000" w:rsidR="00000000" w:rsidRPr="00000000">
        <w:rPr>
          <w:rFonts w:eastAsia="Garamond" w:ascii="Garamond" w:hAnsi="Garamond" w:cs="Garamond"/>
          <w:sz w:val="28"/>
          <w:highlight w:val="none"/>
          <w:rtl w:val="0"/>
        </w:rPr>
        <w:t xml:space="preserve">888.826.2898</w:t>
        <w:tab/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ind w:firstLine="0" w:left="4410"/>
      </w:pPr>
      <w:hyperlink r:id="rId5">
        <w:r w:rsidDel="00000000" w:rsidR="00000000" w:rsidRPr="00000000">
          <w:rPr>
            <w:rFonts w:eastAsia="Garamond" w:ascii="Garamond" w:hAnsi="Garamond" w:cs="Garamond"/>
            <w:color w:val="0000ff"/>
            <w:sz w:val="28"/>
            <w:highlight w:val="none"/>
            <w:u w:val="single"/>
            <w:rtl w:val="0"/>
          </w:rPr>
          <w:t xml:space="preserve">Holly.dormeyer@newmedialegal.com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rtl w:val="0"/>
        </w:rPr>
        <w:t xml:space="preserve">October 31, 2011 - Felhaber, Larson, Fenlon &amp; Vogt, LLP (“Felhaber”)</w:t>
      </w: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 now uses </w:t>
      </w: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rtl w:val="0"/>
        </w:rPr>
        <w:t xml:space="preserve">“Deposition Testimony: 5 Simple Rules,”</w:t>
      </w: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 created by </w:t>
      </w: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rtl w:val="0"/>
        </w:rPr>
        <w:t xml:space="preserve">New Media Legal Publishing, Inc.</w:t>
      </w: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, to help prepare its clients to give their best possible testimony in depositions.  </w:t>
      </w: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rtl w:val="0"/>
        </w:rPr>
        <w:t xml:space="preserve">“Deposition Testimony: 5 Simple Rules”</w:t>
      </w: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 is the only witness preparation video that is available for view on demand by litigators and clients anywhere – anytime – on-line via streaming video over the Internet.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“Felhaber, like many of the nation’s top firms, as well as boutique firms, sought out an effective  efficient means of deposition preparation for their clients.  5 Simply Rules offers their clients just that.  Better deposition preparation results in better depositions and in the long run, a better chance of victory,” says Holly Dormeyer, General Manager of NMLP.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u w:val="single"/>
          <w:rtl w:val="0"/>
        </w:rPr>
        <w:t xml:space="preserve">ABOUT NEW MEDIAL LEGAL PUBLISHING, INC.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New Media Legal Publishing, Inc. is a legal publishing company based in Los Angeles, California, that develops, produces, markets and distributes innovative legal education content for law firms and companies.  For more information about </w:t>
      </w: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rtl w:val="0"/>
        </w:rPr>
        <w:t xml:space="preserve">“Deposition Testimony: 5 Simple Rules,”</w:t>
      </w: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 please visit </w:t>
      </w:r>
      <w:hyperlink r:id="rId7">
        <w:r w:rsidDel="00000000" w:rsidR="00000000" w:rsidRPr="00000000">
          <w:rPr>
            <w:rFonts w:eastAsia="Garamond" w:ascii="Garamond" w:hAnsi="Garamond" w:cs="Garamond"/>
            <w:color w:val="0000ff"/>
            <w:sz w:val="24"/>
            <w:highlight w:val="none"/>
            <w:u w:val="single"/>
            <w:rtl w:val="0"/>
          </w:rPr>
          <w:t xml:space="preserve">www.depositiontestimony.com</w:t>
        </w:r>
      </w:hyperlink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.  For more information about New Media Legal Publishing and its products, please visit </w:t>
      </w:r>
      <w:hyperlink r:id="rId8">
        <w:r w:rsidDel="00000000" w:rsidR="00000000" w:rsidRPr="00000000">
          <w:rPr>
            <w:rFonts w:eastAsia="Garamond" w:ascii="Garamond" w:hAnsi="Garamond" w:cs="Garamond"/>
            <w:color w:val="0000ff"/>
            <w:sz w:val="24"/>
            <w:highlight w:val="none"/>
            <w:u w:val="single"/>
            <w:rtl w:val="0"/>
          </w:rPr>
          <w:t xml:space="preserve">www.newmedialegal.com</w:t>
        </w:r>
      </w:hyperlink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z w:val="24"/>
          <w:highlight w:val="none"/>
          <w:u w:val="single"/>
          <w:rtl w:val="0"/>
        </w:rPr>
        <w:t xml:space="preserve">ABOUT FELHABER, LARSON, FENLON &amp; VOGT, LLP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76" w:after="200" w:lineRule="auto" w:before="0"/>
        <w:ind w:firstLine="0" w:left="0" w:right="0"/>
        <w:jc w:val="both"/>
      </w:pPr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Felhaber is a Minneapolis boutique firm specializing in labor and employment law.  For more information, visit </w:t>
      </w:r>
      <w:hyperlink r:id="rId9">
        <w:r w:rsidDel="00000000" w:rsidR="00000000" w:rsidRPr="00000000">
          <w:rPr>
            <w:rFonts w:eastAsia="Garamond" w:ascii="Garamond" w:hAnsi="Garamond" w:cs="Garamond"/>
            <w:sz w:val="24"/>
            <w:highlight w:val="none"/>
            <w:rtl w:val="0"/>
          </w:rPr>
          <w:t xml:space="preserve">www.felhaber.com</w:t>
        </w:r>
      </w:hyperlink>
      <w:r w:rsidDel="00000000" w:rsidR="00000000" w:rsidRPr="00000000">
        <w:rPr>
          <w:rFonts w:eastAsia="Garamond" w:ascii="Garamond" w:hAnsi="Garamond" w:cs="Garamond"/>
          <w:sz w:val="24"/>
          <w:highlight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200" w:lineRule="auto" w:before="0"/>
      <w:ind w:firstLine="0" w:left="0" w:right="0"/>
      <w:jc w:val="left"/>
    </w:pPr>
    <w:rPr>
      <w:rFonts w:eastAsia="Calibri" w:ascii="Calibri" w:hAnsi="Calibri" w:cs="Calibri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48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36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sz w:val="28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b w:val="1"/>
      <w:sz w:val="24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sz w:val="22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b w:val="1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Mode="External" Target="http://www.felhaber.com"/><Relationship Id="rId6" Type="http://schemas.openxmlformats.org/officeDocument/2006/relationships/hyperlink" TargetMode="External" Target="mailto:Holly.dormeyer@newmedialegal.com"/><Relationship Id="rId5" Type="http://schemas.openxmlformats.org/officeDocument/2006/relationships/hyperlink" TargetMode="External" Target="mailto:Holly.dormeyer@newmedialegal.com"/><Relationship Id="rId8" Type="http://schemas.openxmlformats.org/officeDocument/2006/relationships/hyperlink" TargetMode="External" Target="http://www.newmedialegal.com"/><Relationship Id="rId7" Type="http://schemas.openxmlformats.org/officeDocument/2006/relationships/hyperlink" TargetMode="External" Target="http://www.depositiontestimony.com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Felhaber.docx.docx</dc:title>
</cp:coreProperties>
</file>