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40" w:after="0" w:lineRule="auto"/>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Garamond" w:ascii="Garamond" w:hAnsi="Garamond" w:cs="Garamond"/>
          <w:b w:val="1"/>
          <w:sz w:val="32"/>
          <w:highlight w:val="none"/>
          <w:rtl w:val="0"/>
        </w:rPr>
        <w:t xml:space="preserve">FOR IMMEDIATE RELEASE</w:t>
      </w:r>
      <w:r w:rsidDel="00000000" w:rsidR="00000000" w:rsidRPr="00000000">
        <w:rPr>
          <w:rtl w:val="0"/>
        </w:rPr>
      </w:r>
    </w:p>
    <w:p w:rsidDel="00000000" w:rsidRDefault="00000000" w:rsidR="00000000" w:rsidRPr="00000000" w:rsidP="00000000">
      <w:pPr>
        <w:spacing w:line="240" w:after="0" w:lineRule="auto"/>
        <w:ind w:firstLine="0" w:left="4410"/>
      </w:pPr>
      <w:r w:rsidDel="00000000" w:rsidR="00000000" w:rsidRPr="00000000">
        <w:rPr>
          <w:rFonts w:eastAsia="Garamond" w:ascii="Garamond" w:hAnsi="Garamond" w:cs="Garamond"/>
          <w:b w:val="1"/>
          <w:sz w:val="28"/>
          <w:highlight w:val="none"/>
          <w:rtl w:val="0"/>
        </w:rPr>
        <w:t xml:space="preserve">Contact:</w:t>
      </w:r>
      <w:r w:rsidDel="00000000" w:rsidR="00000000" w:rsidRPr="00000000">
        <w:rPr>
          <w:rtl w:val="0"/>
        </w:rPr>
      </w:r>
    </w:p>
    <w:p w:rsidDel="00000000" w:rsidRDefault="00000000" w:rsidR="00000000" w:rsidRPr="00000000" w:rsidP="00000000">
      <w:pPr>
        <w:spacing w:line="240" w:after="0" w:lineRule="auto"/>
        <w:ind w:firstLine="0" w:left="4410"/>
      </w:pPr>
      <w:r w:rsidDel="00000000" w:rsidR="00000000" w:rsidRPr="00000000">
        <w:rPr>
          <w:rFonts w:eastAsia="Garamond" w:ascii="Garamond" w:hAnsi="Garamond" w:cs="Garamond"/>
          <w:sz w:val="28"/>
          <w:highlight w:val="none"/>
          <w:rtl w:val="0"/>
        </w:rPr>
        <w:t xml:space="preserve">Holly Dormeyer</w:t>
      </w:r>
      <w:r w:rsidDel="00000000" w:rsidR="00000000" w:rsidRPr="00000000">
        <w:rPr>
          <w:rtl w:val="0"/>
        </w:rPr>
      </w:r>
    </w:p>
    <w:p w:rsidDel="00000000" w:rsidRDefault="00000000" w:rsidR="00000000" w:rsidRPr="00000000" w:rsidP="00000000">
      <w:pPr>
        <w:spacing w:line="240" w:after="0" w:lineRule="auto"/>
        <w:ind w:firstLine="0" w:left="4410"/>
      </w:pPr>
      <w:r w:rsidDel="00000000" w:rsidR="00000000" w:rsidRPr="00000000">
        <w:rPr>
          <w:rFonts w:eastAsia="Garamond" w:ascii="Garamond" w:hAnsi="Garamond" w:cs="Garamond"/>
          <w:sz w:val="28"/>
          <w:highlight w:val="none"/>
          <w:rtl w:val="0"/>
        </w:rPr>
        <w:t xml:space="preserve">New Media Legal Publishing, Inc.</w:t>
      </w:r>
      <w:r w:rsidDel="00000000" w:rsidR="00000000" w:rsidRPr="00000000">
        <w:rPr>
          <w:rtl w:val="0"/>
        </w:rPr>
      </w:r>
    </w:p>
    <w:p w:rsidDel="00000000" w:rsidRDefault="00000000" w:rsidR="00000000" w:rsidRPr="00000000" w:rsidP="00000000">
      <w:pPr>
        <w:tabs>
          <w:tab w:pos="2610" w:val="left"/>
        </w:tabs>
        <w:spacing w:line="240" w:after="0" w:lineRule="auto"/>
        <w:ind w:firstLine="0" w:left="4410"/>
      </w:pPr>
      <w:r w:rsidDel="00000000" w:rsidR="00000000" w:rsidRPr="00000000">
        <w:rPr>
          <w:rFonts w:eastAsia="Garamond" w:ascii="Garamond" w:hAnsi="Garamond" w:cs="Garamond"/>
          <w:sz w:val="28"/>
          <w:highlight w:val="none"/>
          <w:rtl w:val="0"/>
        </w:rPr>
        <w:t xml:space="preserve">888.826.2898</w:t>
        <w:tab/>
      </w:r>
      <w:r w:rsidDel="00000000" w:rsidR="00000000" w:rsidRPr="00000000">
        <w:rPr>
          <w:rtl w:val="0"/>
        </w:rPr>
      </w:r>
    </w:p>
    <w:p w:rsidDel="00000000" w:rsidRDefault="00000000" w:rsidR="00000000" w:rsidRPr="00000000" w:rsidP="00000000">
      <w:pPr>
        <w:ind w:firstLine="0" w:left="4410"/>
      </w:pPr>
      <w:hyperlink r:id="rId5">
        <w:r w:rsidDel="00000000" w:rsidR="00000000" w:rsidRPr="00000000">
          <w:rPr>
            <w:rFonts w:eastAsia="Garamond" w:ascii="Garamond" w:hAnsi="Garamond" w:cs="Garamond"/>
            <w:color w:val="0000ff"/>
            <w:sz w:val="28"/>
            <w:highlight w:val="none"/>
            <w:u w:val="single"/>
            <w:rtl w:val="0"/>
          </w:rPr>
          <w:t xml:space="preserve">Holly.dormeyer@newmedialegal.com</w:t>
        </w:r>
      </w:hyperlink>
      <w:hyperlink r:id="rId6">
        <w:r w:rsidDel="00000000" w:rsidR="00000000" w:rsidRPr="00000000">
          <w:rPr>
            <w:rtl w:val="0"/>
          </w:rPr>
        </w:r>
      </w:hyperlink>
    </w:p>
    <w:p w:rsidDel="00000000" w:rsidRDefault="00000000" w:rsidR="00000000" w:rsidRPr="00000000" w:rsidP="00000000">
      <w:pPr>
        <w:jc w:val="both"/>
      </w:pPr>
      <w:r w:rsidDel="00000000" w:rsidR="00000000" w:rsidRPr="00000000">
        <w:rPr>
          <w:rFonts w:eastAsia="Garamond" w:ascii="Garamond" w:hAnsi="Garamond" w:cs="Garamond"/>
          <w:b w:val="1"/>
          <w:sz w:val="24"/>
          <w:highlight w:val="none"/>
          <w:rtl w:val="0"/>
        </w:rPr>
        <w:t xml:space="preserve">May 5, 2012 – Gibson Dunn &amp; Crutcher LLP</w:t>
      </w:r>
      <w:r w:rsidDel="00000000" w:rsidR="00000000" w:rsidRPr="00000000">
        <w:rPr>
          <w:rFonts w:eastAsia="Garamond" w:ascii="Garamond" w:hAnsi="Garamond" w:cs="Garamond"/>
          <w:sz w:val="24"/>
          <w:highlight w:val="none"/>
          <w:rtl w:val="0"/>
        </w:rPr>
        <w:t xml:space="preserve"> now uses </w:t>
      </w:r>
      <w:r w:rsidDel="00000000" w:rsidR="00000000" w:rsidRPr="00000000">
        <w:rPr>
          <w:rFonts w:eastAsia="Garamond" w:ascii="Garamond" w:hAnsi="Garamond" w:cs="Garamond"/>
          <w:b w:val="1"/>
          <w:sz w:val="24"/>
          <w:highlight w:val="none"/>
          <w:rtl w:val="0"/>
        </w:rPr>
        <w:t xml:space="preserve">“Deposition Testimony: 5 Simple Rules,”</w:t>
      </w:r>
      <w:r w:rsidDel="00000000" w:rsidR="00000000" w:rsidRPr="00000000">
        <w:rPr>
          <w:rFonts w:eastAsia="Garamond" w:ascii="Garamond" w:hAnsi="Garamond" w:cs="Garamond"/>
          <w:sz w:val="24"/>
          <w:highlight w:val="none"/>
          <w:rtl w:val="0"/>
        </w:rPr>
        <w:t xml:space="preserve"> created by </w:t>
      </w:r>
      <w:r w:rsidDel="00000000" w:rsidR="00000000" w:rsidRPr="00000000">
        <w:rPr>
          <w:rFonts w:eastAsia="Garamond" w:ascii="Garamond" w:hAnsi="Garamond" w:cs="Garamond"/>
          <w:b w:val="1"/>
          <w:sz w:val="24"/>
          <w:highlight w:val="none"/>
          <w:rtl w:val="0"/>
        </w:rPr>
        <w:t xml:space="preserve">New Media Legal Publishing, Inc. (“NMLP”)</w:t>
      </w:r>
      <w:r w:rsidDel="00000000" w:rsidR="00000000" w:rsidRPr="00000000">
        <w:rPr>
          <w:rFonts w:eastAsia="Garamond" w:ascii="Garamond" w:hAnsi="Garamond" w:cs="Garamond"/>
          <w:sz w:val="24"/>
          <w:highlight w:val="none"/>
          <w:rtl w:val="0"/>
        </w:rPr>
        <w:t xml:space="preserve">, to help prepare its clients to give their best possible testimony in their depositions.  </w:t>
      </w:r>
      <w:r w:rsidDel="00000000" w:rsidR="00000000" w:rsidRPr="00000000">
        <w:rPr>
          <w:rFonts w:eastAsia="Garamond" w:ascii="Garamond" w:hAnsi="Garamond" w:cs="Garamond"/>
          <w:b w:val="1"/>
          <w:sz w:val="24"/>
          <w:highlight w:val="none"/>
          <w:rtl w:val="0"/>
        </w:rPr>
        <w:t xml:space="preserve">“Deposition Testimony: 5 Simple Rules”</w:t>
      </w:r>
      <w:r w:rsidDel="00000000" w:rsidR="00000000" w:rsidRPr="00000000">
        <w:rPr>
          <w:rFonts w:eastAsia="Garamond" w:ascii="Garamond" w:hAnsi="Garamond" w:cs="Garamond"/>
          <w:sz w:val="24"/>
          <w:highlight w:val="none"/>
          <w:rtl w:val="0"/>
        </w:rPr>
        <w:t xml:space="preserve"> is the only witness preparation video that is available for view on-demand by litigators and clients anywhere – anytime – on-line via streaming video over the Internet.</w:t>
      </w:r>
      <w:r w:rsidDel="00000000" w:rsidR="00000000" w:rsidRPr="00000000">
        <w:rPr>
          <w:rtl w:val="0"/>
        </w:rPr>
      </w:r>
    </w:p>
    <w:p w:rsidDel="00000000" w:rsidRDefault="00000000" w:rsidR="00000000" w:rsidRPr="00000000" w:rsidP="00000000">
      <w:pPr>
        <w:jc w:val="both"/>
      </w:pPr>
      <w:r w:rsidDel="00000000" w:rsidR="00000000" w:rsidRPr="00000000">
        <w:rPr>
          <w:rFonts w:eastAsia="Garamond" w:ascii="Garamond" w:hAnsi="Garamond" w:cs="Garamond"/>
          <w:b w:val="1"/>
          <w:sz w:val="24"/>
          <w:highlight w:val="none"/>
          <w:u w:val="single"/>
          <w:rtl w:val="0"/>
        </w:rPr>
        <w:t xml:space="preserve">ABOUT NEW MEDIAL LEGAL PUBLISHING, INC.</w:t>
      </w:r>
      <w:r w:rsidDel="00000000" w:rsidR="00000000" w:rsidRPr="00000000">
        <w:rPr>
          <w:rtl w:val="0"/>
        </w:rPr>
      </w:r>
    </w:p>
    <w:p w:rsidDel="00000000" w:rsidRDefault="00000000" w:rsidR="00000000" w:rsidRPr="00000000" w:rsidP="00000000">
      <w:pPr>
        <w:jc w:val="both"/>
      </w:pPr>
      <w:r w:rsidDel="00000000" w:rsidR="00000000" w:rsidRPr="00000000">
        <w:rPr>
          <w:rFonts w:eastAsia="Garamond" w:ascii="Garamond" w:hAnsi="Garamond" w:cs="Garamond"/>
          <w:sz w:val="24"/>
          <w:highlight w:val="none"/>
          <w:rtl w:val="0"/>
        </w:rPr>
        <w:t xml:space="preserve">New Media Legal Publishing, Inc. is a legal publishing company based in Los Angeles, California, that develops, produces, markets and distributes innovative legal education content for law firms and companies.  For more information about </w:t>
      </w:r>
      <w:r w:rsidDel="00000000" w:rsidR="00000000" w:rsidRPr="00000000">
        <w:rPr>
          <w:rFonts w:eastAsia="Garamond" w:ascii="Garamond" w:hAnsi="Garamond" w:cs="Garamond"/>
          <w:b w:val="1"/>
          <w:sz w:val="24"/>
          <w:highlight w:val="none"/>
          <w:rtl w:val="0"/>
        </w:rPr>
        <w:t xml:space="preserve">“Deposition Testimony: 5 Simple Rules,”</w:t>
      </w:r>
      <w:r w:rsidDel="00000000" w:rsidR="00000000" w:rsidRPr="00000000">
        <w:rPr>
          <w:rFonts w:eastAsia="Garamond" w:ascii="Garamond" w:hAnsi="Garamond" w:cs="Garamond"/>
          <w:sz w:val="24"/>
          <w:highlight w:val="none"/>
          <w:rtl w:val="0"/>
        </w:rPr>
        <w:t xml:space="preserve"> please visit </w:t>
      </w:r>
      <w:hyperlink r:id="rId7">
        <w:r w:rsidDel="00000000" w:rsidR="00000000" w:rsidRPr="00000000">
          <w:rPr>
            <w:rFonts w:eastAsia="Garamond" w:ascii="Garamond" w:hAnsi="Garamond" w:cs="Garamond"/>
            <w:color w:val="0000ff"/>
            <w:sz w:val="24"/>
            <w:highlight w:val="none"/>
            <w:u w:val="single"/>
            <w:rtl w:val="0"/>
          </w:rPr>
          <w:t xml:space="preserve">www.depositiontestimony.com</w:t>
        </w:r>
      </w:hyperlink>
      <w:r w:rsidDel="00000000" w:rsidR="00000000" w:rsidRPr="00000000">
        <w:rPr>
          <w:rFonts w:eastAsia="Garamond" w:ascii="Garamond" w:hAnsi="Garamond" w:cs="Garamond"/>
          <w:sz w:val="24"/>
          <w:highlight w:val="none"/>
          <w:rtl w:val="0"/>
        </w:rPr>
        <w:t xml:space="preserve">.  For more information about New Media Legal Publishing and its products, please visit </w:t>
      </w:r>
      <w:hyperlink r:id="rId8">
        <w:r w:rsidDel="00000000" w:rsidR="00000000" w:rsidRPr="00000000">
          <w:rPr>
            <w:rFonts w:eastAsia="Garamond" w:ascii="Garamond" w:hAnsi="Garamond" w:cs="Garamond"/>
            <w:color w:val="0000ff"/>
            <w:sz w:val="24"/>
            <w:highlight w:val="none"/>
            <w:u w:val="single"/>
            <w:rtl w:val="0"/>
          </w:rPr>
          <w:t xml:space="preserve">www.newmedialegal.com</w:t>
        </w:r>
      </w:hyperlink>
      <w:r w:rsidDel="00000000" w:rsidR="00000000" w:rsidRPr="00000000">
        <w:rPr>
          <w:rFonts w:eastAsia="Garamond" w:ascii="Garamond" w:hAnsi="Garamond" w:cs="Garamond"/>
          <w:sz w:val="24"/>
          <w:highlight w:val="none"/>
          <w:rtl w:val="0"/>
        </w:rPr>
        <w:t xml:space="preserve">.</w:t>
      </w:r>
      <w:r w:rsidDel="00000000" w:rsidR="00000000" w:rsidRPr="00000000">
        <w:rPr>
          <w:rtl w:val="0"/>
        </w:rPr>
      </w:r>
    </w:p>
    <w:p w:rsidDel="00000000" w:rsidRDefault="00000000" w:rsidR="00000000" w:rsidRPr="00000000" w:rsidP="00000000">
      <w:pPr>
        <w:jc w:val="both"/>
      </w:pPr>
      <w:r w:rsidDel="00000000" w:rsidR="00000000" w:rsidRPr="00000000">
        <w:rPr>
          <w:rFonts w:eastAsia="Garamond" w:ascii="Garamond" w:hAnsi="Garamond" w:cs="Garamond"/>
          <w:b w:val="1"/>
          <w:sz w:val="24"/>
          <w:highlight w:val="none"/>
          <w:u w:val="single"/>
          <w:rtl w:val="0"/>
        </w:rPr>
        <w:t xml:space="preserve">ABOUT GIBSON DUNN &amp; CRUTCHER LLP</w:t>
      </w:r>
      <w:r w:rsidDel="00000000" w:rsidR="00000000" w:rsidRPr="00000000">
        <w:rPr>
          <w:rtl w:val="0"/>
        </w:rPr>
      </w:r>
    </w:p>
    <w:p w:rsidDel="00000000" w:rsidRDefault="00000000" w:rsidR="00000000" w:rsidRPr="00000000" w:rsidP="00000000">
      <w:pPr>
        <w:jc w:val="both"/>
      </w:pPr>
      <w:r w:rsidDel="00000000" w:rsidR="00000000" w:rsidRPr="00000000">
        <w:rPr>
          <w:rFonts w:eastAsia="Garamond" w:ascii="Garamond" w:hAnsi="Garamond" w:cs="Garamond"/>
          <w:sz w:val="24"/>
          <w:highlight w:val="none"/>
          <w:rtl w:val="0"/>
        </w:rPr>
        <w:t xml:space="preserve">Gibson, Dunn &amp; Crutcher is an international law firm with over 1,000 lawyers in 17 offices in major cities throughout the United States, Europe, the Middle East, Asia and South America.  The firm was recently ranked among Law 360s Top 20 Global Firms.  For more information visit </w:t>
      </w:r>
      <w:hyperlink r:id="rId9">
        <w:r w:rsidDel="00000000" w:rsidR="00000000" w:rsidRPr="00000000">
          <w:rPr>
            <w:rFonts w:eastAsia="Garamond" w:ascii="Garamond" w:hAnsi="Garamond" w:cs="Garamond"/>
            <w:color w:val="0000ff"/>
            <w:sz w:val="24"/>
            <w:highlight w:val="none"/>
            <w:u w:val="single"/>
            <w:rtl w:val="0"/>
          </w:rPr>
          <w:t xml:space="preserve">www.gibsondunn.com</w:t>
        </w:r>
      </w:hyperlink>
      <w:r w:rsidDel="00000000" w:rsidR="00000000" w:rsidRPr="00000000">
        <w:rPr>
          <w:rFonts w:eastAsia="Garamond" w:ascii="Garamond" w:hAnsi="Garamond" w:cs="Garamond"/>
          <w:sz w:val="24"/>
          <w:highlight w:val="none"/>
          <w:rtl w:val="0"/>
        </w:rPr>
        <w:t xml:space="preserve">. </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200" w:lineRule="auto" w:before="0"/>
      <w:ind w:firstLine="0" w:left="0" w:right="0"/>
      <w:jc w:val="left"/>
    </w:pPr>
    <w:rPr>
      <w:rFonts w:eastAsia="Calibri" w:ascii="Calibri" w:hAnsi="Calibri" w:cs="Calibri"/>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Mode="External" Target="http://www.gibsondunn.com"/><Relationship Id="rId6" Type="http://schemas.openxmlformats.org/officeDocument/2006/relationships/hyperlink" TargetMode="External" Target="mailto:Holly.dormeyer@newmedialegal.com"/><Relationship Id="rId5" Type="http://schemas.openxmlformats.org/officeDocument/2006/relationships/hyperlink" TargetMode="External" Target="mailto:Holly.dormeyer@newmedialegal.com"/><Relationship Id="rId8" Type="http://schemas.openxmlformats.org/officeDocument/2006/relationships/hyperlink" TargetMode="External" Target="http://www.newmedialegal.com"/><Relationship Id="rId7" Type="http://schemas.openxmlformats.org/officeDocument/2006/relationships/hyperlink" TargetMode="External" Target="http://www.depositiontestimony.com"/></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Gibson.docx.docx</dc:title>
</cp:coreProperties>
</file>